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Кононов Сергей Викторович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Батлаев Михаил  Григорьевич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РАД-277461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0" w:name="OLE_LINK37"/>
      <w:bookmarkStart w:id="1" w:name="OLE_LINK36"/>
      <w:r>
        <w:rPr>
          <w:b/>
          <w:lang w:val="en-US"/>
        </w:rPr>
        <w:t>08 декабря 2021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132466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Кононов Сергей Викторович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1 - </w:t>
      </w:r>
      <w:r w:rsidR="005F498E" w:rsidRPr="005F498E">
        <w:t>Жилой дом площадью 152,7 кв.м., кадастровый номер 23:17:1401019:231, расположенный по адресу: Россия, Краснодарский край, ст. Кущевская, пер. Пионерский, д. 23; Земельный участок площадью 568,2 кв. м., кадастровый номер 23:17:1401019:199, расположенный по адресу: Россия, Краснодарский край, ст. Кущевская, пер. Пионерский, д. 23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13.11.2021 - 17.11.2021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2 250 000.00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18.11.2021 - 22.11.2021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2 025 000.00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23.11.2021 - 27.11.2021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1 800 000.00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28.11.2021 - 02.12.2021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1 575 000.00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03.12.2021 - 07.12.2021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1 350 000.00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08.12.2021 - 12.12.2021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1 125 000.00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13.12.2021 - 17.12.2021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900 000.00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18.12.2021 - 22.12.2021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675 000.00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23.12.2021 - 27.12.2021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450 000.00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Бочевар Надежда Михайловна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г Ростов-на-Дону, ул Юфимцева, д 10/1, кв 63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246874-ИД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03.12.2021 - 07.12.2021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07.12.2021 г. в 14:58:27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1 400 000.00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Кобелев Александр Александрович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Краснодарский край, ст-ца Кущевская, пер Куцева, д 85, кв 1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246875-ИД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03.12.2021 - 07.12.2021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07.12.2021 г. в 14:59:44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1 355 000.00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  <w:bookmarkStart w:id="2" w:name="_GoBack"/>
      <w:bookmarkEnd w:id="2"/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A314B7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Бочевар Надежда Михайловна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615514861930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г Ростов-на-Дону, ул Юфимцева, д 10/1, кв 63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Бочевар Надежда Михайловна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07.12.2021 г. в 14:58:27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1 400 000.00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AA0CF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AA0CF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AA0CFB">
      <w:fldChar w:fldCharType="separate"/>
    </w:r>
    <w:r w:rsidR="00AA0CF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AA0CFB">
      <w:rPr>
        <w:noProof/>
        <w:sz w:val="20"/>
        <w:szCs w:val="20"/>
      </w:rPr>
      <w:t xml:space="preserve">торговой </w:t>
    </w:r>
    <w:r w:rsidR="00AA0CF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AA0CF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14B7"/>
    <w:rsid w:val="00A35F2C"/>
    <w:rsid w:val="00A67E62"/>
    <w:rsid w:val="00A77456"/>
    <w:rsid w:val="00A77ACF"/>
    <w:rsid w:val="00A938C9"/>
    <w:rsid w:val="00AA0005"/>
    <w:rsid w:val="00AA0CFB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FE7C562-82F3-4892-B157-F395D56F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FCC878BA-BD0D-40CA-8FCD-1A17967C606E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3628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Администратор</cp:lastModifiedBy>
  <cp:revision>2</cp:revision>
  <cp:lastPrinted>2021-12-08T12:33:00Z</cp:lastPrinted>
  <dcterms:created xsi:type="dcterms:W3CDTF">2021-12-08T12:34:00Z</dcterms:created>
  <dcterms:modified xsi:type="dcterms:W3CDTF">2021-12-08T12:34:00Z</dcterms:modified>
</cp:coreProperties>
</file>