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РАД-269534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26 - </w:t>
      </w:r>
      <w:r w:rsidR="005F498E" w:rsidRPr="005F498E">
        <w:t>Лот№ 26 с начальной продажной ценой 35 640 руб., состоящий из: Станция FAS-250 для навешивания фурнитуры на створки,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35 640.00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33 858.00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32 076.00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30 294.00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28 512.00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26 730.00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24 948.00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23 166.00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21 384.00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368500, Респ Дагестан, г Избербаш, ул 1-я 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243494-ИД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09.11.2021 - 15.11.2021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14:05:26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24 948.00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14:05:26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24 948.00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C599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C599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599D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5BAA8E-EFF5-4A68-9926-B40C14DD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434F507-FC0C-4501-84C1-08E80FB7C99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3287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2021-11-15T13:56:00Z</cp:lastPrinted>
  <dcterms:created xsi:type="dcterms:W3CDTF">2021-11-15T13:56:00Z</dcterms:created>
  <dcterms:modified xsi:type="dcterms:W3CDTF">2021-11-15T13:56:00Z</dcterms:modified>
</cp:coreProperties>
</file>